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2022年公开招聘合同制人员岗位汇总表</w:t>
      </w:r>
      <w:bookmarkStart w:id="0" w:name="_GoBack"/>
      <w:bookmarkEnd w:id="0"/>
    </w:p>
    <w:tbl>
      <w:tblPr>
        <w:tblStyle w:val="3"/>
        <w:tblW w:w="9285" w:type="dxa"/>
        <w:tblInd w:w="-1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20"/>
        <w:gridCol w:w="1156"/>
        <w:gridCol w:w="1199"/>
        <w:gridCol w:w="4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人数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专业要求及条件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眼科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眼视光医学专业，具有执业医师资格证书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耳鼻喉科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临床医学专业，具有执业医师资格证书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检验科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检验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诊断学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2022年应届毕业生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输血科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临床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检验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诊断学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2022年应届毕业生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公卫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营养与食品卫生学专业，具有执业医师资格证书，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儿童康复A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康复治疗学专业、运动康复专业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2022年应届毕业生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儿童康复B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针灸推拿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专业，具有执业医师资格证书，具有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年以上本专业工作经历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脑电图室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临床医学专业，具有三级甲等医院三年以上本专业工作经验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儿童保健科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言语听力康复专业、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特殊教育专业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早教中心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学前教育专业，具有教师资格证书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社区卫生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口腔医学专业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具有执业医师资格证书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社区卫生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影像医学与核医学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专业，具有执业医师资格证书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社区卫生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临床医学专业，具有执业医师资格证书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护理学专业、助产专业，具有护士执业资格证书，2022年应届毕业生 或 具有三级甲等医院三年以上本专业工作经历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。应届生不超过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25周岁，往届生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社区护理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专科及以上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专业，具有护士执业资格证书，2022年应届毕业生 或 具有三级甲等医院三年以上本专业工作经历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。应届生年龄不超过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23周岁，往届生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28周岁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总务/基建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机电工程专业、土木工程专业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器械科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生物医学工程专业（医疗器械维修方向）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会计学专业、会计专业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行政管理专业，具有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五年以上本专业工作经历，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年龄不超过3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OGM0NjMzNzViZDkxNTNhYmZhNDM1MjgyMGFmMTUifQ=="/>
  </w:docVars>
  <w:rsids>
    <w:rsidRoot w:val="00000000"/>
    <w:rsid w:val="76E0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2022-05-24T10:35:03Z</dcterms:created>
  <dc:creator>Administrator</dc:creator>
  <cp:lastModifiedBy>首席燕子</cp:lastModifiedBy>
  <dcterms:modified xsi:type="dcterms:W3CDTF">2022-05-24T10:36:28Z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D49B1CA027AA4576ABAC212A85F91A4C</vt:lpwstr>
  </property>
</Properties>
</file>